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9.png" ContentType="image/png"/>
  <Override PartName="/word/media/rId93.png" ContentType="image/png"/>
  <Override PartName="/word/media/rId113.png" ContentType="image/png"/>
  <Override PartName="/word/media/rId117.png" ContentType="image/png"/>
  <Override PartName="/word/media/rId129.png" ContentType="image/png"/>
  <Override PartName="/word/media/rId109.png" ContentType="image/png"/>
  <Override PartName="/word/media/rId121.png" ContentType="image/png"/>
  <Override PartName="/word/media/rId97.png" ContentType="image/png"/>
  <Override PartName="/word/media/rId101.png" ContentType="image/png"/>
  <Override PartName="/word/media/rId105.png" ContentType="image/png"/>
  <Override PartName="/word/media/rId69.png" ContentType="image/png"/>
  <Override PartName="/word/media/rId125.png" ContentType="image/png"/>
  <Override PartName="/word/media/rId73.png" ContentType="image/png"/>
  <Override PartName="/word/media/rId81.png" ContentType="image/png"/>
  <Override PartName="/word/media/rId85.png" ContentType="image/png"/>
  <Override PartName="/word/media/rId49.png" ContentType="image/png"/>
  <Override PartName="/word/media/rId37.jpg" ContentType="image/jpeg"/>
  <Override PartName="/word/media/rId61.jpg" ContentType="image/jpeg"/>
  <Override PartName="/word/media/rId65.jpg" ContentType="image/jpeg"/>
  <Override PartName="/word/media/rId41.png" ContentType="image/png"/>
  <Override PartName="/word/media/rId53.jpg" ContentType="image/jpeg"/>
  <Override PartName="/word/media/rId57.png" ContentType="image/png"/>
  <Override PartName="/word/media/rId33.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Gradient Exchange Mass Spectrometry (GEMS) for Quantifying a Suite of Dissolved Gas Fluxes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w:t>
      </w:r>
      <w:r>
        <w:t xml:space="preserve"> </w:t>
      </w:r>
      <w:r>
        <w:t xml:space="preserve">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w:t>
      </w:r>
      <w:r>
        <w:t xml:space="preserve"> </w:t>
      </w:r>
      <w:r>
        <w:t xml:space="preserve">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w:t>
      </w:r>
    </w:p>
    <w:bookmarkStart w:id="20" w:name="project-history"/>
    <w:p>
      <w:pPr>
        <w:pStyle w:val="Heading1"/>
      </w:pPr>
      <w:r>
        <w:t xml:space="preserve">Project History</w:t>
      </w:r>
    </w:p>
    <w:p>
      <w:pPr>
        <w:pStyle w:val="FirstParagraph"/>
      </w:pPr>
      <w:r>
        <w:t xml:space="preserve">During the first year of this project, we conducted several laboratory and field tests as outlined in our proposal. Significant developments included the testing of response time and power-saving strategies, development of the GEMS underwater mass spectrometer and pumping systems and an initial short field deployment, resulting in initial gradient estimates (</w:t>
      </w:r>
      <w:hyperlink w:anchor="fig-2021-gradients">
        <w:r>
          <w:rPr>
            <w:rStyle w:val="Hyperlink"/>
          </w:rPr>
          <w:t xml:space="preserve">Figure 1</w:t>
        </w:r>
      </w:hyperlink>
      <w:r>
        <w:t xml:space="preserve">).</w:t>
      </w:r>
    </w:p>
    <w:p>
      <w:pPr>
        <w:pStyle w:val="BodyText"/>
      </w:pPr>
      <w:r>
        <w:t xml:space="preserve">Developments in 2022 included a long-term deployment of the GEMS system including a solar and wind-powered surface platform (</w:t>
      </w:r>
      <w:hyperlink w:anchor="fig-barge">
        <w:r>
          <w:rPr>
            <w:rStyle w:val="Hyperlink"/>
          </w:rPr>
          <w:t xml:space="preserve">Figure 2</w:t>
        </w:r>
      </w:hyperlink>
      <w:r>
        <w:t xml:space="preserve">)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 Issues with QMS signal to noise ratio (</w:t>
      </w:r>
      <w:hyperlink w:anchor="fig-noise-comparison">
        <w:r>
          <w:rPr>
            <w:rStyle w:val="Hyperlink"/>
          </w:rPr>
          <w:t xml:space="preserve">Figure 11</w:t>
        </w:r>
      </w:hyperlink>
      <w:r>
        <w:t xml:space="preserve">), and with the gradient valve were resolved during the subsequent development period.</w:t>
      </w:r>
    </w:p>
    <w:p>
      <w:pPr>
        <w:pStyle w:val="BodyText"/>
      </w:pPr>
      <w:r>
        <w:t xml:space="preserve">During the third year of this project, we continued development and conducted laboratory tests to resolve issues and improve the GEMS system. Unanticipated departures from PI Long’s lab in 2023 included an engineer, a WHOI JP student, a research assistant, and a postdoc that led to substantial delays and loss of knowledge for this project. Work on signal to noise ratios in the mass spectrometer output led to a complete redesign of the GEMS lander electronics and extensive revision of the control software. We also redesigned and tested a new valve configuration to address issues during the 2022 deployment.</w:t>
      </w:r>
    </w:p>
    <w:p>
      <w:pPr>
        <w:pStyle w:val="BodyText"/>
      </w:pPr>
      <w:r>
        <w:t xml:space="preserve">In 2024, new personnel (a technician, now WHOI/MIT JP PhD student, and a research associate) were trained and continued development of the GEMS system.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We built a small chamber that could be installed in eelgrass mesocosms (</w:t>
      </w:r>
      <w:hyperlink w:anchor="fig-label-setup">
        <w:r>
          <w:rPr>
            <w:rStyle w:val="Hyperlink"/>
          </w:rPr>
          <w:t xml:space="preserve">Figure 3</w:t>
        </w:r>
      </w:hyperlink>
      <w:r>
        <w:t xml:space="preserve">) to monitor the evolution of a pulse-label of</w:t>
      </w:r>
      <w:r>
        <w:t xml:space="preserve"> </w:t>
      </w:r>
      <w:r>
        <w:rPr>
          <w:vertAlign w:val="superscript"/>
        </w:rPr>
        <w:t xml:space="preserve">15</w:t>
      </w:r>
      <w:r>
        <w:t xml:space="preserve">N labeled nitrate to labeled nitrogen gas (</w:t>
      </w:r>
      <w:hyperlink w:anchor="fig-label-evolution">
        <w:r>
          <w:rPr>
            <w:rStyle w:val="Hyperlink"/>
          </w:rPr>
          <w:t xml:space="preserve">Figure 4</w:t>
        </w:r>
      </w:hyperlink>
      <w:r>
        <w:t xml:space="preserve">). recirculated water past the GEMS inlet membrane for continuous measurement of masses 28, 29, 30, and 40 (unlabeled, singly, and doubly labeled N2, and Argon, respectively). We used this system for a series of replicate experiments among eelgrass mesocosm treatments, allowing us to compare denitrification rates (</w:t>
      </w:r>
      <w:hyperlink w:anchor="fig-dn-rates">
        <w:r>
          <w:rPr>
            <w:rStyle w:val="Hyperlink"/>
          </w:rPr>
          <w:t xml:space="preserve">Figure 5</w:t>
        </w:r>
      </w:hyperlink>
      <w:r>
        <w:t xml:space="preserve">). This development may lead to direct, automated measurements of denitrification in the field during future GEMS deployments.</w:t>
      </w:r>
    </w:p>
    <w:p>
      <w:pPr>
        <w:pStyle w:val="BodyText"/>
      </w:pPr>
      <w:r>
        <w:t xml:space="preserve">The final deployment in the summer of 2025 was 4 months in duration. This deployment tested a new lander platform (</w:t>
      </w:r>
      <w:hyperlink w:anchor="fig-lander">
        <w:r>
          <w:rPr>
            <w:rStyle w:val="Hyperlink"/>
          </w:rPr>
          <w:t xml:space="preserve">Figure 6</w:t>
        </w:r>
      </w:hyperlink>
      <w:r>
        <w:t xml:space="preserve">), improved control and data acquisition systems, a new pump and gradient valve system, a new telemetry data system and accompanying web dashboard (</w:t>
      </w:r>
      <w:hyperlink w:anchor="fig-status">
        <w:r>
          <w:rPr>
            <w:rStyle w:val="Hyperlink"/>
          </w:rPr>
          <w:t xml:space="preserve">Figure 7</w:t>
        </w:r>
      </w:hyperlink>
      <w:r>
        <w:t xml:space="preserve">), and a new data reduction pipeline to handle more data from longer deployments reproducibly. The methods and results below cover the system as used in 2025.</w:t>
      </w:r>
    </w:p>
    <w:bookmarkEnd w:id="20"/>
    <w:bookmarkStart w:id="27" w:name="gems-methods"/>
    <w:p>
      <w:pPr>
        <w:pStyle w:val="Heading1"/>
      </w:pPr>
      <w:r>
        <w:t xml:space="preserve">GEMS Methods</w:t>
      </w:r>
    </w:p>
    <w:bookmarkStart w:id="21"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2</w:t>
        </w:r>
      </w:hyperlink>
      <w:r>
        <w:t xml:space="preserve">) is constructed using commercial dock flotation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7</w:t>
        </w:r>
      </w:hyperlink>
      <w:r>
        <w:t xml:space="preserve">).</w:t>
      </w:r>
    </w:p>
    <w:p>
      <w:pPr>
        <w:pStyle w:val="BodyText"/>
      </w:pPr>
      <w:r>
        <w:t xml:space="preserve">The lander (</w:t>
      </w:r>
      <w:hyperlink w:anchor="fig-lander">
        <w:r>
          <w:rPr>
            <w:rStyle w:val="Hyperlink"/>
          </w:rPr>
          <w:t xml:space="preserve">Figure 6</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3D printed frame and adapter.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1"/>
    <w:bookmarkStart w:id="22"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8</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9</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analyzed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2021.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2"/>
    <w:bookmarkStart w:id="26"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w:t>
      </w:r>
      <m:oMath>
        <m:r>
          <m:rPr>
            <m:sty m:val="p"/>
          </m:rPr>
          <m:t>u</m:t>
        </m:r>
        <m:r>
          <m:rPr>
            <m:sty m:val="p"/>
          </m:rPr>
          <m:t>*</m:t>
        </m:r>
      </m:oMath>
      <w:r>
        <w:t xml:space="preserve">) term for gradient flux determination. CPSD and</w:t>
      </w:r>
      <w:r>
        <w:t xml:space="preserve"> </w:t>
      </w:r>
      <m:oMath>
        <m:r>
          <m:rPr>
            <m:sty m:val="p"/>
          </m:rPr>
          <m:t>u</m:t>
        </m:r>
        <m:r>
          <m:rPr>
            <m:sty m:val="p"/>
          </m:rPr>
          <m:t>*</m:t>
        </m:r>
      </m:oMath>
      <w:r>
        <w:t xml:space="preserve"> </w:t>
      </w:r>
      <w:r>
        <w:t xml:space="preserve">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3"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3"/>
    </w:p>
    <w:p>
      <w:pPr>
        <w:pStyle w:val="FirstParagraph"/>
      </w:pPr>
      <w:bookmarkStart w:id="24"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4"/>
    </w:p>
    <w:p>
      <w:pPr>
        <w:pStyle w:val="FirstParagraph"/>
      </w:pPr>
      <w:bookmarkStart w:id="25"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5"/>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6"/>
    <w:bookmarkEnd w:id="27"/>
    <w:bookmarkStart w:id="32" w:name="results"/>
    <w:p>
      <w:pPr>
        <w:pStyle w:val="Heading1"/>
      </w:pPr>
      <w:r>
        <w:t xml:space="preserve">Results</w:t>
      </w:r>
    </w:p>
    <w:bookmarkStart w:id="28" w:name="qms-data"/>
    <w:p>
      <w:pPr>
        <w:pStyle w:val="Heading2"/>
      </w:pPr>
      <w:r>
        <w:t xml:space="preserve">QMS Data</w:t>
      </w:r>
    </w:p>
    <w:p>
      <w:pPr>
        <w:pStyle w:val="FirstParagraph"/>
      </w:pPr>
      <w:r>
        <w:t xml:space="preserve">Dissolved gas measurements over time from the GEMS system (</w:t>
      </w:r>
      <w:hyperlink w:anchor="fig-mass-trace">
        <w:r>
          <w:rPr>
            <w:rStyle w:val="Hyperlink"/>
          </w:rPr>
          <w:t xml:space="preserve">Figure 10</w:t>
        </w:r>
      </w:hyperlink>
      <w:r>
        <w:t xml:space="preserve">) show clear variability in dissolved oxygen and carbon dioxide concentrations and gradients.</w:t>
      </w:r>
      <w:r>
        <w:t xml:space="preserve"> </w:t>
      </w:r>
      <w:r>
        <w:t xml:space="preserve">Low concentration and interference with ions from other species make determination of methane, nitrogen, and hydrogen sulfide fluxes difficult or impossible.</w:t>
      </w:r>
      <w:r>
        <w:t xml:space="preserve"> </w:t>
      </w:r>
      <w:r>
        <w:t xml:space="preserve">Discrete measurements of methane showed low but measurable concentrations at the site (20 μmol L</w:t>
      </w:r>
      <w:r>
        <w:rPr>
          <w:vertAlign w:val="superscript"/>
        </w:rPr>
        <w:t xml:space="preserve">-1</w:t>
      </w:r>
      <w:r>
        <w:t xml:space="preserve">),</w:t>
      </w:r>
      <w:r>
        <w:t xml:space="preserve"> </w:t>
      </w:r>
      <w:r>
        <w:t xml:space="preserve">but interference with peaks from water and oxygen (mass 16) made reliable determination impossible.</w:t>
      </w:r>
      <w:r>
        <w:t xml:space="preserve"> </w:t>
      </w:r>
      <w:r>
        <w:t xml:space="preserve">Discrete measurements of hydrogen sulfide showed no measurable H</w:t>
      </w:r>
      <w:r>
        <w:rPr>
          <w:vertAlign w:val="subscript"/>
        </w:rPr>
        <w:t xml:space="preserve">2</w:t>
      </w:r>
      <w:r>
        <w:t xml:space="preserve">S at the site, so we believe any signal at mass 34 is likely a known interference with oxygen.</w:t>
      </w:r>
      <w:r>
        <w:t xml:space="preserve"> </w:t>
      </w:r>
      <w:r>
        <w:t xml:space="preserve">We were able to greatly reduce the signal to noise ration in QMS data for the 2025 deployment</w:t>
      </w:r>
      <w:r>
        <w:t xml:space="preserve"> </w:t>
      </w:r>
      <w:r>
        <w:t xml:space="preserve">as compared to the 2022 deployment (</w:t>
      </w:r>
      <w:hyperlink w:anchor="fig-noise-comparison">
        <w:r>
          <w:rPr>
            <w:rStyle w:val="Hyperlink"/>
          </w:rPr>
          <w:t xml:space="preserve">Figure 11</w:t>
        </w:r>
      </w:hyperlink>
      <w:r>
        <w:t xml:space="preserve">)</w:t>
      </w:r>
      <w:r>
        <w:t xml:space="preserve"> </w:t>
      </w:r>
      <w:r>
        <w:t xml:space="preserve">by improving the microcontroller-based data acquisition system, adjusting the QMS chamber pressure, and reducing electrical noise.</w:t>
      </w:r>
      <w:r>
        <w:t xml:space="preserve"> </w:t>
      </w:r>
      <w:r>
        <w:t xml:space="preserve">We found that normalizing signals to Argon (mass 40) greatly improved signal stability.</w:t>
      </w:r>
      <w:r>
        <w:t xml:space="preserve"> </w:t>
      </w:r>
      <w:r>
        <w:t xml:space="preserve">Argon is similar in physical behavior to the other gasses of interest, but is not modified by ecosystem processes.</w:t>
      </w:r>
      <w:r>
        <w:t xml:space="preserve"> </w:t>
      </w:r>
      <w:r>
        <w:t xml:space="preserve">Normalizing to argon removes much of the effect of environmental factors like temperature, pressure, and air-sea gas exchange,</w:t>
      </w:r>
      <w:r>
        <w:t xml:space="preserve"> </w:t>
      </w:r>
      <w:r>
        <w:t xml:space="preserve">and system factors like flow rate, membrane permeability and biofouling (</w:t>
      </w:r>
      <w:hyperlink w:anchor="fig-argon-norm">
        <w:r>
          <w:rPr>
            <w:rStyle w:val="Hyperlink"/>
          </w:rPr>
          <w:t xml:space="preserve">Figure 12</w:t>
        </w:r>
      </w:hyperlink>
      <w:r>
        <w:t xml:space="preserve">).</w:t>
      </w:r>
    </w:p>
    <w:p>
      <w:pPr>
        <w:pStyle w:val="Compact"/>
        <w:numPr>
          <w:ilvl w:val="0"/>
          <w:numId w:val="1001"/>
        </w:numPr>
      </w:pPr>
      <w:r>
        <w:t xml:space="preserve">Do we need these figures?*</w:t>
      </w:r>
    </w:p>
    <w:p>
      <w:pPr>
        <w:pStyle w:val="FirstParagraph"/>
      </w:pPr>
      <w:hyperlink w:anchor="fig-oxygen-long">
        <w:r>
          <w:rPr>
            <w:rStyle w:val="Hyperlink"/>
          </w:rPr>
          <w:t xml:space="preserve">Figure 13</w:t>
        </w:r>
      </w:hyperlink>
      <w:r>
        <w:t xml:space="preserve"> </w:t>
      </w:r>
      <w:hyperlink w:anchor="fig-oxygen-short">
        <w:r>
          <w:rPr>
            <w:rStyle w:val="Hyperlink"/>
          </w:rPr>
          <w:t xml:space="preserve">Figure 14</w:t>
        </w:r>
      </w:hyperlink>
    </w:p>
    <w:bookmarkEnd w:id="28"/>
    <w:bookmarkStart w:id="29" w:name="calibration"/>
    <w:p>
      <w:pPr>
        <w:pStyle w:val="Heading2"/>
      </w:pPr>
      <w:r>
        <w:t xml:space="preserve">Calibration</w:t>
      </w:r>
    </w:p>
    <w:p>
      <w:pPr>
        <w:pStyle w:val="FirstParagraph"/>
      </w:pPr>
      <w:r>
        <w:t xml:space="preserve">Time-correlated data from co-deployed sensors was used for calibration.</w:t>
      </w:r>
      <w:r>
        <w:t xml:space="preserve"> </w:t>
      </w:r>
      <w:r>
        <w:t xml:space="preserve">A linear fit between the argon-normalized mass of interest and calibrated sensor data was used to generate a calibration curve (</w:t>
      </w:r>
      <w:hyperlink w:anchor="fig-cal">
        <w:r>
          <w:rPr>
            <w:rStyle w:val="Hyperlink"/>
          </w:rPr>
          <w:t xml:space="preserve">Figure 15</w:t>
        </w:r>
      </w:hyperlink>
      <w:r>
        <w:t xml:space="preserve">).</w:t>
      </w:r>
      <w:r>
        <w:t xml:space="preserve"> </w:t>
      </w:r>
      <w:r>
        <w:t xml:space="preserve">This produced a reasonable fit between the calibrated GEMS and sensor data (</w:t>
      </w:r>
      <w:hyperlink w:anchor="fig-cal-timeseries">
        <w:r>
          <w:rPr>
            <w:rStyle w:val="Hyperlink"/>
          </w:rPr>
          <w:t xml:space="preserve">Figure 16</w:t>
        </w:r>
      </w:hyperlink>
      <w:r>
        <w:t xml:space="preserve">).</w:t>
      </w:r>
      <w:r>
        <w:t xml:space="preserve"> </w:t>
      </w:r>
      <w:r>
        <w:t xml:space="preserve">Cross-calibration with co-deployed sensors balances attempting to sample the same water concurrently with GEMS</w:t>
      </w:r>
      <w:r>
        <w:t xml:space="preserve"> </w:t>
      </w:r>
      <w:r>
        <w:t xml:space="preserve">and disturbing eddy propagation and flow around and within the GEMS system.</w:t>
      </w:r>
      <w:r>
        <w:t xml:space="preserve"> </w:t>
      </w:r>
      <w:r>
        <w:t xml:space="preserve">We chose to co-deploy sensors 2 m in the mean upcurrent direction to avoid disturbing eddy propagation.</w:t>
      </w:r>
      <w:r>
        <w:t xml:space="preserve"> </w:t>
      </w:r>
      <w:r>
        <w:t xml:space="preserve">If the co-deployed sensors could sample the GEMS inlets directly without disturbing current or sample loop flow,</w:t>
      </w:r>
      <w:r>
        <w:t xml:space="preserve"> </w:t>
      </w:r>
      <w:r>
        <w:t xml:space="preserve">the calibration uncertainty may be reduced.</w:t>
      </w:r>
    </w:p>
    <w:bookmarkEnd w:id="29"/>
    <w:bookmarkStart w:id="30" w:name="gradients-and-fluxes"/>
    <w:p>
      <w:pPr>
        <w:pStyle w:val="Heading2"/>
      </w:pPr>
      <w:r>
        <w:t xml:space="preserve">Gradients and Fluxes</w:t>
      </w:r>
    </w:p>
    <w:p>
      <w:pPr>
        <w:pStyle w:val="FirstParagraph"/>
      </w:pPr>
      <w:r>
        <w:t xml:space="preserve">Hourly fluxes for the duration of the deployment were determined for Oxygen (</w:t>
      </w:r>
      <w:hyperlink w:anchor="fig-flux-timeseries">
        <w:r>
          <w:rPr>
            <w:rStyle w:val="Hyperlink"/>
          </w:rPr>
          <w:t xml:space="preserve">Figure 17</w:t>
        </w:r>
      </w:hyperlink>
      <w:r>
        <w:t xml:space="preserve">) and Carbon Dioxide.</w:t>
      </w:r>
      <w:r>
        <w:t xml:space="preserve"> </w:t>
      </w:r>
      <w:r>
        <w:t xml:space="preserve">Fluxes show a clear diel cycle (</w:t>
      </w:r>
      <w:hyperlink w:anchor="fig-flux-zoom">
        <w:r>
          <w:rPr>
            <w:rStyle w:val="Hyperlink"/>
          </w:rPr>
          <w:t xml:space="preserve">Figure 18</w:t>
        </w:r>
      </w:hyperlink>
      <w:r>
        <w:t xml:space="preserve">).</w:t>
      </w:r>
      <w:r>
        <w:t xml:space="preserve"> </w:t>
      </w:r>
      <w:r>
        <w:t xml:space="preserve">Averaging these gradients by hour of solar day (</w:t>
      </w:r>
      <w:hyperlink w:anchor="fig-gradient-diel">
        <w:r>
          <w:rPr>
            <w:rStyle w:val="Hyperlink"/>
          </w:rPr>
          <w:t xml:space="preserve">Figure 19</w:t>
        </w:r>
      </w:hyperlink>
      <w:r>
        <w:t xml:space="preserve">) shows a mean daily maximum oxygen gradient of +- 10 mmol m</w:t>
      </w:r>
      <w:r>
        <w:rPr>
          <w:vertAlign w:val="superscript"/>
        </w:rPr>
        <w:t xml:space="preserve">-4</w:t>
      </w:r>
      <w:r>
        <w:t xml:space="preserve">.</w:t>
      </w:r>
      <w:r>
        <w:t xml:space="preserve"> </w:t>
      </w:r>
      <w:r>
        <w:t xml:space="preserve">A clear diel cycle is apparent in the oxygen (</w:t>
      </w:r>
      <w:hyperlink w:anchor="fig-flux-diel">
        <w:r>
          <w:rPr>
            <w:rStyle w:val="Hyperlink"/>
          </w:rPr>
          <w:t xml:space="preserve">Figure 20</w:t>
        </w:r>
      </w:hyperlink>
      <w:r>
        <w:t xml:space="preserve">) and carbon dioxide (</w:t>
      </w:r>
      <w:hyperlink w:anchor="fig-co2-diel">
        <w:r>
          <w:rPr>
            <w:rStyle w:val="Hyperlink"/>
          </w:rPr>
          <w:t xml:space="preserve">Figure 21</w:t>
        </w:r>
      </w:hyperlink>
      <w:r>
        <w:t xml:space="preserve">) fluxes.</w:t>
      </w:r>
      <w:r>
        <w:t xml:space="preserve"> </w:t>
      </w:r>
      <w:r>
        <w:t xml:space="preserve">Monthly patterns in the diel oxygen fluxes (</w:t>
      </w:r>
      <w:hyperlink w:anchor="fig-flux-diel-monthly">
        <w:r>
          <w:rPr>
            <w:rStyle w:val="Hyperlink"/>
          </w:rPr>
          <w:t xml:space="preserve">Figure 23</w:t>
        </w:r>
      </w:hyperlink>
      <w:r>
        <w:t xml:space="preserve">) show larger daily variability during summer months,</w:t>
      </w:r>
      <w:r>
        <w:t xml:space="preserve"> </w:t>
      </w:r>
      <w:r>
        <w:t xml:space="preserve">when more light is available and water temperature is higher.</w:t>
      </w:r>
      <w:r>
        <w:t xml:space="preserve"> </w:t>
      </w:r>
      <w:r>
        <w:t xml:space="preserve">The relationship between oxygen and carbon dioxide fluxes is complex (</w:t>
      </w:r>
      <w:hyperlink w:anchor="fig-co2-vs-o2">
        <w:r>
          <w:rPr>
            <w:rStyle w:val="Hyperlink"/>
          </w:rPr>
          <w:t xml:space="preserve">Figure 22</w:t>
        </w:r>
      </w:hyperlink>
      <w:r>
        <w:t xml:space="preserve">).</w:t>
      </w:r>
      <w:r>
        <w:t xml:space="preserve"> </w:t>
      </w:r>
      <w:r>
        <w:t xml:space="preserve">Speciation of CO</w:t>
      </w:r>
      <w:r>
        <w:rPr>
          <w:vertAlign w:val="subscript"/>
        </w:rPr>
        <w:t xml:space="preserve">2</w:t>
      </w:r>
      <w:r>
        <w:t xml:space="preserve"> </w:t>
      </w:r>
      <w:r>
        <w:t xml:space="preserve">in the carbonate system and the balance of system respiration and photorespiration likely drive this relationship.</w:t>
      </w:r>
      <w:r>
        <w:t xml:space="preserve"> </w:t>
      </w:r>
      <w:r>
        <w:t xml:space="preserve">Neither pH nor alkalinity were measured concurrently with dissolved gasses, so it is difficult to quantify inorganic carbon</w:t>
      </w:r>
      <w:r>
        <w:t xml:space="preserve"> </w:t>
      </w:r>
      <w:r>
        <w:t xml:space="preserve">among carbonate species (CO</w:t>
      </w:r>
      <w:r>
        <w:rPr>
          <w:vertAlign w:val="subscript"/>
        </w:rPr>
        <w:t xml:space="preserve">2</w:t>
      </w:r>
      <w:r>
        <w:t xml:space="preserve">, CO</w:t>
      </w:r>
      <w:r>
        <w:rPr>
          <w:vertAlign w:val="subscript"/>
        </w:rPr>
        <w:t xml:space="preserve">3</w:t>
      </w:r>
      <w:r>
        <w:rPr>
          <w:vertAlign w:val="superscript"/>
        </w:rPr>
        <w:t xml:space="preserve">2-</w:t>
      </w:r>
      <w:r>
        <w:t xml:space="preserve">, HCO</w:t>
      </w:r>
      <w:r>
        <w:rPr>
          <w:vertAlign w:val="superscript"/>
        </w:rPr>
        <w:t xml:space="preserve">3-</w:t>
      </w:r>
      <w:r>
        <w:t xml:space="preserve">).</w:t>
      </w:r>
      <w:r>
        <w:t xml:space="preserve"> </w:t>
      </w:r>
      <w:r>
        <w:t xml:space="preserve">Monthly and daily (</w:t>
      </w:r>
      <w:hyperlink w:anchor="fig-nem">
        <w:r>
          <w:rPr>
            <w:rStyle w:val="Hyperlink"/>
          </w:rPr>
          <w:t xml:space="preserve">Figure 24</w:t>
        </w:r>
      </w:hyperlink>
      <w:r>
        <w:t xml:space="preserve">) estimates of net ecosystem metabolism show that</w:t>
      </w:r>
      <w:r>
        <w:t xml:space="preserve"> </w:t>
      </w:r>
      <w:r>
        <w:t xml:space="preserve">while net fluxes vary on multiple timescales, the net metabolism of the system is close to zero.</w:t>
      </w:r>
    </w:p>
    <w:bookmarkEnd w:id="30"/>
    <w:bookmarkStart w:id="31" w:name="eelgrass-growth-data"/>
    <w:p>
      <w:pPr>
        <w:pStyle w:val="Heading2"/>
      </w:pPr>
      <w:r>
        <w:t xml:space="preserve">Eelgrass Growth Data</w:t>
      </w:r>
    </w:p>
    <w:p>
      <w:pPr>
        <w:pStyle w:val="FirstParagraph"/>
      </w:pPr>
      <w:r>
        <w:t xml:space="preserve">Eelgrass growth measured as areal density and length of annual shoots was measured at the Hadleys Harbor site semi-monthly for the duration of the project.</w:t>
      </w:r>
      <w:r>
        <w:t xml:space="preserve"> </w:t>
      </w:r>
      <w:r>
        <w:t xml:space="preserve">Growth data are presented in</w:t>
      </w:r>
      <w:r>
        <w:t xml:space="preserve"> </w:t>
      </w:r>
      <w:hyperlink w:anchor="fig-eelgrass">
        <w:r>
          <w:rPr>
            <w:rStyle w:val="Hyperlink"/>
          </w:rPr>
          <w:t xml:space="preserve">Figure 25</w:t>
        </w:r>
      </w:hyperlink>
      <w:r>
        <w:t xml:space="preserve">. Growth trends are generally consistent from year to year. Maximum shoot biomass density and blade length occur late in the summer growth season.</w:t>
      </w:r>
    </w:p>
    <w:bookmarkEnd w:id="31"/>
    <w:bookmarkEnd w:id="32"/>
    <w:bookmarkStart w:id="14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6" w:name="fig-2021-gradients"/>
          <w:p>
            <w:pPr>
              <w:pStyle w:val="Compact"/>
              <w:jc w:val="center"/>
            </w:pPr>
            <w:r>
              <w:drawing>
                <wp:inline>
                  <wp:extent cx="5943600" cy="3901626"/>
                  <wp:effectExtent b="0" l="0" r="0" t="0"/>
                  <wp:docPr descr="" title="" id="34" name="Picture"/>
                  <a:graphic>
                    <a:graphicData uri="http://schemas.openxmlformats.org/drawingml/2006/picture">
                      <pic:pic>
                        <pic:nvPicPr>
                          <pic:cNvPr descr="report_photos/gradients_2021.png" id="35" name="Picture"/>
                          <pic:cNvPicPr>
                            <a:picLocks noChangeArrowheads="1" noChangeAspect="1"/>
                          </pic:cNvPicPr>
                        </pic:nvPicPr>
                        <pic:blipFill>
                          <a:blip r:embed="rId33"/>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believe this indicates mass interference with oxygen in the QMS.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barge"/>
          <w:p>
            <w:pPr>
              <w:pStyle w:val="Compact"/>
              <w:jc w:val="center"/>
            </w:pPr>
            <w:r>
              <w:drawing>
                <wp:inline>
                  <wp:extent cx="5889567" cy="4418214"/>
                  <wp:effectExtent b="0" l="0" r="0" t="0"/>
                  <wp:docPr descr="" title="" id="38" name="Picture"/>
                  <a:graphic>
                    <a:graphicData uri="http://schemas.openxmlformats.org/drawingml/2006/picture">
                      <pic:pic>
                        <pic:nvPicPr>
                          <pic:cNvPr descr="report_photos/gems_barge.jpg" id="39" name="Picture"/>
                          <pic:cNvPicPr>
                            <a:picLocks noChangeArrowheads="1" noChangeAspect="1"/>
                          </pic:cNvPicPr>
                        </pic:nvPicPr>
                        <pic:blipFill>
                          <a:blip r:embed="rId3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2: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label-setup"/>
          <w:p>
            <w:pPr>
              <w:pStyle w:val="Compact"/>
              <w:jc w:val="center"/>
            </w:pPr>
            <w:r>
              <w:drawing>
                <wp:inline>
                  <wp:extent cx="4160520" cy="6534352"/>
                  <wp:effectExtent b="0" l="0" r="0" t="0"/>
                  <wp:docPr descr="" title="" id="42" name="Picture"/>
                  <a:graphic>
                    <a:graphicData uri="http://schemas.openxmlformats.org/drawingml/2006/picture">
                      <pic:pic>
                        <pic:nvPicPr>
                          <pic:cNvPr descr="report_photos/gems_dn_chamber.png" id="43" name="Picture"/>
                          <pic:cNvPicPr>
                            <a:picLocks noChangeArrowheads="1" noChangeAspect="1"/>
                          </pic:cNvPicPr>
                        </pic:nvPicPr>
                        <pic:blipFill>
                          <a:blip r:embed="rId41"/>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set up for measurement of denitrification in</w:t>
            </w:r>
            <w:r>
              <w:t xml:space="preserve"> </w:t>
            </w:r>
            <w:r>
              <w:rPr>
                <w:i/>
                <w:iCs/>
              </w:rPr>
              <w:t xml:space="preserve">Zostera marina</w:t>
            </w:r>
            <w:r>
              <w:t xml:space="preserve"> </w:t>
            </w:r>
            <w:r>
              <w:t xml:space="preserve">(eelgrass)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fig-label-evolution"/>
          <w:p>
            <w:pPr>
              <w:pStyle w:val="Compact"/>
              <w:jc w:val="center"/>
            </w:pPr>
            <w:r>
              <w:drawing>
                <wp:inline>
                  <wp:extent cx="5943600" cy="3669937"/>
                  <wp:effectExtent b="0" l="0" r="0" t="0"/>
                  <wp:docPr descr="" title="" id="46" name="Picture"/>
                  <a:graphic>
                    <a:graphicData uri="http://schemas.openxmlformats.org/drawingml/2006/picture">
                      <pic:pic>
                        <pic:nvPicPr>
                          <pic:cNvPr descr="report_photos/n15_label_evolution.png" id="47" name="Picture"/>
                          <pic:cNvPicPr>
                            <a:picLocks noChangeArrowheads="1" noChangeAspect="1"/>
                          </pic:cNvPicPr>
                        </pic:nvPicPr>
                        <pic:blipFill>
                          <a:blip r:embed="rId45"/>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4: Evolution through time of single- and doubly-labeled nitrogen and argon tracers during a denitrification experiment in an eelgrass mesocosm.</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dn-rates"/>
          <w:p>
            <w:pPr>
              <w:pStyle w:val="Compact"/>
              <w:jc w:val="center"/>
            </w:pPr>
            <w:r>
              <w:drawing>
                <wp:inline>
                  <wp:extent cx="5943600" cy="3669937"/>
                  <wp:effectExtent b="0" l="0" r="0" t="0"/>
                  <wp:docPr descr="" title="" id="50" name="Picture"/>
                  <a:graphic>
                    <a:graphicData uri="http://schemas.openxmlformats.org/drawingml/2006/picture">
                      <pic:pic>
                        <pic:nvPicPr>
                          <pic:cNvPr descr="report_photos/crate_dn_comparison.png" id="51" name="Picture"/>
                          <pic:cNvPicPr>
                            <a:picLocks noChangeArrowheads="1" noChangeAspect="1"/>
                          </pic:cNvPicPr>
                        </pic:nvPicPr>
                        <pic:blipFill>
                          <a:blip r:embed="rId49"/>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Denitrification rates for three replicates of 4 experimental treatments at different time 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lander"/>
          <w:p>
            <w:pPr>
              <w:pStyle w:val="Compact"/>
              <w:jc w:val="center"/>
            </w:pPr>
            <w:r>
              <w:drawing>
                <wp:inline>
                  <wp:extent cx="4754880" cy="6294577"/>
                  <wp:effectExtent b="0" l="0" r="0" t="0"/>
                  <wp:docPr descr="" title="" id="54" name="Picture"/>
                  <a:graphic>
                    <a:graphicData uri="http://schemas.openxmlformats.org/drawingml/2006/picture">
                      <pic:pic>
                        <pic:nvPicPr>
                          <pic:cNvPr descr="report_photos/gems_lander.jpg" id="55" name="Picture"/>
                          <pic:cNvPicPr>
                            <a:picLocks noChangeArrowheads="1" noChangeAspect="1"/>
                          </pic:cNvPicPr>
                        </pic:nvPicPr>
                        <pic:blipFill>
                          <a:blip r:embed="rId53"/>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fig-status"/>
          <w:p>
            <w:pPr>
              <w:pStyle w:val="Compact"/>
              <w:jc w:val="center"/>
            </w:pPr>
            <w:r>
              <w:drawing>
                <wp:inline>
                  <wp:extent cx="5943600" cy="6298773"/>
                  <wp:effectExtent b="0" l="0" r="0" t="0"/>
                  <wp:docPr descr="" title="" id="58" name="Picture"/>
                  <a:graphic>
                    <a:graphicData uri="http://schemas.openxmlformats.org/drawingml/2006/picture">
                      <pic:pic>
                        <pic:nvPicPr>
                          <pic:cNvPr descr="report_photos/gems_status.png" id="59" name="Picture"/>
                          <pic:cNvPicPr>
                            <a:picLocks noChangeArrowheads="1" noChangeAspect="1"/>
                          </pic:cNvPicPr>
                        </pic:nvPicPr>
                        <pic:blipFill>
                          <a:blip r:embed="rId57"/>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7: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deployment"/>
          <w:p>
            <w:pPr>
              <w:pStyle w:val="Compact"/>
              <w:jc w:val="center"/>
            </w:pPr>
            <w:r>
              <w:drawing>
                <wp:inline>
                  <wp:extent cx="5943600" cy="5191298"/>
                  <wp:effectExtent b="0" l="0" r="0" t="0"/>
                  <wp:docPr descr="" title="" id="62" name="Picture"/>
                  <a:graphic>
                    <a:graphicData uri="http://schemas.openxmlformats.org/drawingml/2006/picture">
                      <pic:pic>
                        <pic:nvPicPr>
                          <pic:cNvPr descr="report_photos/gems_deployment.jpg" id="63" name="Picture"/>
                          <pic:cNvPicPr>
                            <a:picLocks noChangeArrowheads="1" noChangeAspect="1"/>
                          </pic:cNvPicPr>
                        </pic:nvPicPr>
                        <pic:blipFill>
                          <a:blip r:embed="rId61"/>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8: The GEMS power, data and telemetry platform (top left) and GEMS lander (bottom right). A 10m cable providing 24V power and ethernet-based data runs between the platform and lander.</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deployment-2025"/>
          <w:p>
            <w:pPr>
              <w:pStyle w:val="Compact"/>
              <w:jc w:val="center"/>
            </w:pPr>
            <w:r>
              <w:drawing>
                <wp:inline>
                  <wp:extent cx="5943600" cy="3528697"/>
                  <wp:effectExtent b="0" l="0" r="0" t="0"/>
                  <wp:docPr descr="" title="" id="66" name="Picture"/>
                  <a:graphic>
                    <a:graphicData uri="http://schemas.openxmlformats.org/drawingml/2006/picture">
                      <pic:pic>
                        <pic:nvPicPr>
                          <pic:cNvPr descr="report_photos/gems_deployment_2025.jpg" id="67" name="Picture"/>
                          <pic:cNvPicPr>
                            <a:picLocks noChangeArrowheads="1" noChangeAspect="1"/>
                          </pic:cNvPicPr>
                        </pic:nvPicPr>
                        <pic:blipFill>
                          <a:blip r:embed="rId65"/>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GEMS platform during the 2025 deployment. Samuel Koeck (MIT/WHOI PhD student) is above the lander deployment location.</w:t>
            </w:r>
          </w:p>
          <w:bookmarkEnd w:id="68"/>
        </w:tc>
      </w:tr>
    </w:tbl>
    <w:p>
      <w:r>
        <w:br w:type="page"/>
      </w:r>
    </w:p>
    <w:tbl>
      <w:tblPr>
        <w:tblStyle w:val="Table"/>
        <w:tblW w:type="pct" w:w="5000"/>
        <w:tblLayout w:type="fixed"/>
        <w:tblLook w:firstRow="0" w:lastRow="0" w:firstColumn="0" w:lastColumn="0" w:noHBand="0" w:noVBand="0" w:val="0000"/>
      </w:tblPr>
      <w:tblGrid>
        <w:gridCol w:w="7920"/>
      </w:tblGrid>
      <w:tr>
        <w:tc>
          <w:tcPr/>
          <w:bookmarkStart w:id="72" w:name="fig-mass-trace"/>
          <w:p>
            <w:pPr>
              <w:pStyle w:val="Compact"/>
              <w:jc w:val="center"/>
            </w:pPr>
            <w:r>
              <w:drawing>
                <wp:inline>
                  <wp:extent cx="5943600" cy="6537960"/>
                  <wp:effectExtent b="0" l="0" r="0" t="0"/>
                  <wp:docPr descr="" title="" id="70" name="Picture"/>
                  <a:graphic>
                    <a:graphicData uri="http://schemas.openxmlformats.org/drawingml/2006/picture">
                      <pic:pic>
                        <pic:nvPicPr>
                          <pic:cNvPr descr="gems_final_nsf_report_files/figure-docx/fig-mass-trace-1.png" id="71" name="Picture"/>
                          <pic:cNvPicPr>
                            <a:picLocks noChangeArrowheads="1" noChangeAspect="1"/>
                          </pic:cNvPicPr>
                        </pic:nvPicPr>
                        <pic:blipFill>
                          <a:blip r:embed="rId69"/>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72"/>
        </w:tc>
      </w:tr>
    </w:tbl>
    <w:p>
      <w:r>
        <w:br w:type="page"/>
      </w:r>
    </w:p>
    <w:tbl>
      <w:tblPr>
        <w:tblStyle w:val="Table"/>
        <w:tblW w:type="pct" w:w="5000"/>
        <w:tblLayout w:type="fixed"/>
        <w:tblLook w:firstRow="0" w:lastRow="0" w:firstColumn="0" w:lastColumn="0" w:noHBand="0" w:noVBand="0" w:val="0000"/>
      </w:tblPr>
      <w:tblGrid>
        <w:gridCol w:w="7920"/>
      </w:tblGrid>
      <w:tr>
        <w:tc>
          <w:tcPr/>
          <w:bookmarkStart w:id="76" w:name="fig-noise-comparison"/>
          <w:p>
            <w:pPr>
              <w:pStyle w:val="Compact"/>
              <w:jc w:val="center"/>
            </w:pPr>
            <w:r>
              <w:drawing>
                <wp:inline>
                  <wp:extent cx="5943600" cy="4754880"/>
                  <wp:effectExtent b="0" l="0" r="0" t="0"/>
                  <wp:docPr descr="" title="" id="74" name="Picture"/>
                  <a:graphic>
                    <a:graphicData uri="http://schemas.openxmlformats.org/drawingml/2006/picture">
                      <pic:pic>
                        <pic:nvPicPr>
                          <pic:cNvPr descr="gems_final_nsf_report_files/figure-docx/fig-noise-comparis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argon-norm"/>
          <w:p>
            <w:pPr>
              <w:pStyle w:val="Compact"/>
              <w:jc w:val="center"/>
            </w:pPr>
            <w:r>
              <w:drawing>
                <wp:inline>
                  <wp:extent cx="5943600" cy="4754880"/>
                  <wp:effectExtent b="0" l="0" r="0" t="0"/>
                  <wp:docPr descr="" title="" id="78" name="Picture"/>
                  <a:graphic>
                    <a:graphicData uri="http://schemas.openxmlformats.org/drawingml/2006/picture">
                      <pic:pic>
                        <pic:nvPicPr>
                          <pic:cNvPr descr="gems_final_nsf_report_files/figure-docx/fig-argon-norm-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80"/>
        </w:tc>
      </w:tr>
    </w:tbl>
    <w:p>
      <w:r>
        <w:br w:type="page"/>
      </w:r>
    </w:p>
    <w:tbl>
      <w:tblPr>
        <w:tblStyle w:val="Table"/>
        <w:tblW w:type="pct" w:w="5000"/>
        <w:tblLayout w:type="fixed"/>
        <w:tblLook w:firstRow="0" w:lastRow="0" w:firstColumn="0" w:lastColumn="0" w:noHBand="0" w:noVBand="0" w:val="0000"/>
      </w:tblPr>
      <w:tblGrid>
        <w:gridCol w:w="7920"/>
      </w:tblGrid>
      <w:tr>
        <w:tc>
          <w:tcPr/>
          <w:bookmarkStart w:id="84" w:name="fig-oxygen-long"/>
          <w:p>
            <w:pPr>
              <w:pStyle w:val="Compact"/>
              <w:jc w:val="center"/>
            </w:pPr>
            <w:r>
              <w:drawing>
                <wp:inline>
                  <wp:extent cx="5943600" cy="4754880"/>
                  <wp:effectExtent b="0" l="0" r="0" t="0"/>
                  <wp:docPr descr="" title="" id="82" name="Picture"/>
                  <a:graphic>
                    <a:graphicData uri="http://schemas.openxmlformats.org/drawingml/2006/picture">
                      <pic:pic>
                        <pic:nvPicPr>
                          <pic:cNvPr descr="gems_final_nsf_report_files/figure-docx/fig-oxygen-long-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84"/>
        </w:tc>
      </w:tr>
    </w:tbl>
    <w:tbl>
      <w:tblPr>
        <w:tblStyle w:val="Table"/>
        <w:tblW w:type="pct" w:w="5000"/>
        <w:tblLayout w:type="fixed"/>
        <w:tblLook w:firstRow="0" w:lastRow="0" w:firstColumn="0" w:lastColumn="0" w:noHBand="0" w:noVBand="0" w:val="0000"/>
      </w:tblPr>
      <w:tblGrid>
        <w:gridCol w:w="7920"/>
      </w:tblGrid>
      <w:tr>
        <w:tc>
          <w:tcPr/>
          <w:bookmarkStart w:id="88" w:name="fig-oxygen-short"/>
          <w:p>
            <w:pPr>
              <w:pStyle w:val="Compact"/>
              <w:jc w:val="center"/>
            </w:pPr>
            <w:r>
              <w:drawing>
                <wp:inline>
                  <wp:extent cx="5943600" cy="4754880"/>
                  <wp:effectExtent b="0" l="0" r="0" t="0"/>
                  <wp:docPr descr="" title="" id="86" name="Picture"/>
                  <a:graphic>
                    <a:graphicData uri="http://schemas.openxmlformats.org/drawingml/2006/picture">
                      <pic:pic>
                        <pic:nvPicPr>
                          <pic:cNvPr descr="gems_final_nsf_report_files/figure-docx/fig-oxygen-short-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8"/>
        </w:tc>
      </w:tr>
    </w:tbl>
    <w:p>
      <w:r>
        <w:br w:type="page"/>
      </w:r>
    </w:p>
    <w:tbl>
      <w:tblPr>
        <w:tblStyle w:val="Table"/>
        <w:tblW w:type="pct" w:w="5000"/>
        <w:tblLayout w:type="fixed"/>
        <w:tblLook w:firstRow="0" w:lastRow="0" w:firstColumn="0" w:lastColumn="0" w:noHBand="0" w:noVBand="0" w:val="0000"/>
      </w:tblPr>
      <w:tblGrid>
        <w:gridCol w:w="7920"/>
      </w:tblGrid>
      <w:tr>
        <w:tc>
          <w:tcPr/>
          <w:bookmarkStart w:id="92" w:name="fig-cal"/>
          <w:p>
            <w:pPr>
              <w:pStyle w:val="Compact"/>
              <w:jc w:val="center"/>
            </w:pPr>
            <w:r>
              <w:drawing>
                <wp:inline>
                  <wp:extent cx="5943600" cy="4754880"/>
                  <wp:effectExtent b="0" l="0" r="0" t="0"/>
                  <wp:docPr descr="" title="" id="90" name="Picture"/>
                  <a:graphic>
                    <a:graphicData uri="http://schemas.openxmlformats.org/drawingml/2006/picture">
                      <pic:pic>
                        <pic:nvPicPr>
                          <pic:cNvPr descr="gems_final_nsf_report_files/figure-docx/fig-cal-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92"/>
        </w:tc>
      </w:tr>
    </w:tbl>
    <w:p>
      <w:r>
        <w:br w:type="page"/>
      </w:r>
    </w:p>
    <w:tbl>
      <w:tblPr>
        <w:tblStyle w:val="Table"/>
        <w:tblW w:type="pct" w:w="5000"/>
        <w:tblLayout w:type="fixed"/>
        <w:tblLook w:firstRow="0" w:lastRow="0" w:firstColumn="0" w:lastColumn="0" w:noHBand="0" w:noVBand="0" w:val="0000"/>
      </w:tblPr>
      <w:tblGrid>
        <w:gridCol w:w="7920"/>
      </w:tblGrid>
      <w:tr>
        <w:tc>
          <w:tcPr/>
          <w:bookmarkStart w:id="96" w:name="fig-cal-timeseries"/>
          <w:p>
            <w:pPr>
              <w:pStyle w:val="Compact"/>
              <w:jc w:val="center"/>
            </w:pPr>
            <w:r>
              <w:drawing>
                <wp:inline>
                  <wp:extent cx="5943600" cy="4754880"/>
                  <wp:effectExtent b="0" l="0" r="0" t="0"/>
                  <wp:docPr descr="" title="" id="94" name="Picture"/>
                  <a:graphic>
                    <a:graphicData uri="http://schemas.openxmlformats.org/drawingml/2006/picture">
                      <pic:pic>
                        <pic:nvPicPr>
                          <pic:cNvPr descr="gems_final_nsf_report_files/figure-docx/fig-cal-timeseries-1.png" id="95"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6"/>
        </w:tc>
      </w:tr>
    </w:tbl>
    <w:p>
      <w:r>
        <w:br w:type="page"/>
      </w:r>
    </w:p>
    <w:tbl>
      <w:tblPr>
        <w:tblStyle w:val="Table"/>
        <w:tblW w:type="pct" w:w="5000"/>
        <w:tblLayout w:type="fixed"/>
        <w:tblLook w:firstRow="0" w:lastRow="0" w:firstColumn="0" w:lastColumn="0" w:noHBand="0" w:noVBand="0" w:val="0000"/>
      </w:tblPr>
      <w:tblGrid>
        <w:gridCol w:w="7920"/>
      </w:tblGrid>
      <w:tr>
        <w:tc>
          <w:tcPr/>
          <w:bookmarkStart w:id="100" w:name="fig-flux-timeseries"/>
          <w:p>
            <w:pPr>
              <w:pStyle w:val="Compact"/>
              <w:jc w:val="center"/>
            </w:pPr>
            <w:r>
              <w:drawing>
                <wp:inline>
                  <wp:extent cx="5943600" cy="6537960"/>
                  <wp:effectExtent b="0" l="0" r="0" t="0"/>
                  <wp:docPr descr="" title="" id="98" name="Picture"/>
                  <a:graphic>
                    <a:graphicData uri="http://schemas.openxmlformats.org/drawingml/2006/picture">
                      <pic:pic>
                        <pic:nvPicPr>
                          <pic:cNvPr descr="gems_final_nsf_report_files/figure-docx/fig-flux-timeseries-1.png" id="99" name="Picture"/>
                          <pic:cNvPicPr>
                            <a:picLocks noChangeArrowheads="1" noChangeAspect="1"/>
                          </pic:cNvPicPr>
                        </pic:nvPicPr>
                        <pic:blipFill>
                          <a:blip r:embed="rId9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fig-flux-zoom"/>
          <w:p>
            <w:pPr>
              <w:pStyle w:val="Compact"/>
              <w:jc w:val="center"/>
            </w:pPr>
            <w:r>
              <w:drawing>
                <wp:inline>
                  <wp:extent cx="5943600" cy="4754880"/>
                  <wp:effectExtent b="0" l="0" r="0" t="0"/>
                  <wp:docPr descr="" title="" id="102" name="Picture"/>
                  <a:graphic>
                    <a:graphicData uri="http://schemas.openxmlformats.org/drawingml/2006/picture">
                      <pic:pic>
                        <pic:nvPicPr>
                          <pic:cNvPr descr="gems_final_nsf_report_files/figure-docx/fig-flux-zoom-1.png" id="103" name="Picture"/>
                          <pic:cNvPicPr>
                            <a:picLocks noChangeArrowheads="1" noChangeAspect="1"/>
                          </pic:cNvPicPr>
                        </pic:nvPicPr>
                        <pic:blipFill>
                          <a:blip r:embed="rId1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104"/>
        </w:tc>
      </w:tr>
    </w:tbl>
    <w:p>
      <w:r>
        <w:br w:type="page"/>
      </w:r>
    </w:p>
    <w:tbl>
      <w:tblPr>
        <w:tblStyle w:val="Table"/>
        <w:tblW w:type="pct" w:w="5000"/>
        <w:tblLayout w:type="fixed"/>
        <w:tblLook w:firstRow="0" w:lastRow="0" w:firstColumn="0" w:lastColumn="0" w:noHBand="0" w:noVBand="0" w:val="0000"/>
      </w:tblPr>
      <w:tblGrid>
        <w:gridCol w:w="7920"/>
      </w:tblGrid>
      <w:tr>
        <w:tc>
          <w:tcPr/>
          <w:bookmarkStart w:id="108" w:name="fig-gradient-diel"/>
          <w:p>
            <w:pPr>
              <w:pStyle w:val="Compact"/>
              <w:jc w:val="center"/>
            </w:pPr>
            <w:r>
              <w:drawing>
                <wp:inline>
                  <wp:extent cx="5943600" cy="5943600"/>
                  <wp:effectExtent b="0" l="0" r="0" t="0"/>
                  <wp:docPr descr="" title="" id="106" name="Picture"/>
                  <a:graphic>
                    <a:graphicData uri="http://schemas.openxmlformats.org/drawingml/2006/picture">
                      <pic:pic>
                        <pic:nvPicPr>
                          <pic:cNvPr descr="gems_final_nsf_report_files/figure-docx/fig-gradient-diel-1.png" id="107"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8"/>
        </w:tc>
      </w:tr>
    </w:tbl>
    <w:p>
      <w:r>
        <w:br w:type="page"/>
      </w:r>
    </w:p>
    <w:tbl>
      <w:tblPr>
        <w:tblStyle w:val="Table"/>
        <w:tblW w:type="pct" w:w="5000"/>
        <w:tblLayout w:type="fixed"/>
        <w:tblLook w:firstRow="0" w:lastRow="0" w:firstColumn="0" w:lastColumn="0" w:noHBand="0" w:noVBand="0" w:val="0000"/>
      </w:tblPr>
      <w:tblGrid>
        <w:gridCol w:w="7920"/>
      </w:tblGrid>
      <w:tr>
        <w:tc>
          <w:tcPr/>
          <w:bookmarkStart w:id="112" w:name="fig-flux-diel"/>
          <w:p>
            <w:pPr>
              <w:pStyle w:val="Compact"/>
              <w:jc w:val="center"/>
            </w:pPr>
            <w:r>
              <w:drawing>
                <wp:inline>
                  <wp:extent cx="5943600" cy="5943600"/>
                  <wp:effectExtent b="0" l="0" r="0" t="0"/>
                  <wp:docPr descr="" title="" id="110" name="Picture"/>
                  <a:graphic>
                    <a:graphicData uri="http://schemas.openxmlformats.org/drawingml/2006/picture">
                      <pic:pic>
                        <pic:nvPicPr>
                          <pic:cNvPr descr="gems_final_nsf_report_files/figure-docx/fig-flux-diel-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12"/>
        </w:tc>
      </w:tr>
    </w:tbl>
    <w:tbl>
      <w:tblPr>
        <w:tblStyle w:val="Table"/>
        <w:tblW w:type="pct" w:w="5000"/>
        <w:tblLayout w:type="fixed"/>
        <w:tblLook w:firstRow="0" w:lastRow="0" w:firstColumn="0" w:lastColumn="0" w:noHBand="0" w:noVBand="0" w:val="0000"/>
      </w:tblPr>
      <w:tblGrid>
        <w:gridCol w:w="7920"/>
      </w:tblGrid>
      <w:tr>
        <w:tc>
          <w:tcPr/>
          <w:bookmarkStart w:id="116" w:name="fig-co2-diel"/>
          <w:p>
            <w:pPr>
              <w:pStyle w:val="Compact"/>
              <w:jc w:val="center"/>
            </w:pPr>
            <w:r>
              <w:drawing>
                <wp:inline>
                  <wp:extent cx="5943600" cy="6537960"/>
                  <wp:effectExtent b="0" l="0" r="0" t="0"/>
                  <wp:docPr descr="" title="" id="114" name="Picture"/>
                  <a:graphic>
                    <a:graphicData uri="http://schemas.openxmlformats.org/drawingml/2006/picture">
                      <pic:pic>
                        <pic:nvPicPr>
                          <pic:cNvPr descr="gems_final_nsf_report_files/figure-docx/fig-co2-diel-1.png" id="115" name="Picture"/>
                          <pic:cNvPicPr>
                            <a:picLocks noChangeArrowheads="1" noChangeAspect="1"/>
                          </pic:cNvPicPr>
                        </pic:nvPicPr>
                        <pic:blipFill>
                          <a:blip r:embed="rId11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6"/>
        </w:tc>
      </w:tr>
    </w:tbl>
    <w:tbl>
      <w:tblPr>
        <w:tblStyle w:val="Table"/>
        <w:tblW w:type="pct" w:w="5000"/>
        <w:tblLayout w:type="fixed"/>
        <w:tblLook w:firstRow="0" w:lastRow="0" w:firstColumn="0" w:lastColumn="0" w:noHBand="0" w:noVBand="0" w:val="0000"/>
      </w:tblPr>
      <w:tblGrid>
        <w:gridCol w:w="7920"/>
      </w:tblGrid>
      <w:tr>
        <w:tc>
          <w:tcPr/>
          <w:bookmarkStart w:id="120" w:name="fig-co2-vs-o2"/>
          <w:p>
            <w:pPr>
              <w:pStyle w:val="Compact"/>
              <w:jc w:val="center"/>
            </w:pPr>
            <w:r>
              <w:drawing>
                <wp:inline>
                  <wp:extent cx="5943600" cy="3566160"/>
                  <wp:effectExtent b="0" l="0" r="0" t="0"/>
                  <wp:docPr descr="" title="" id="118" name="Picture"/>
                  <a:graphic>
                    <a:graphicData uri="http://schemas.openxmlformats.org/drawingml/2006/picture">
                      <pic:pic>
                        <pic:nvPicPr>
                          <pic:cNvPr descr="gems_final_nsf_report_files/figure-docx/fig-co2-vs-o2-1.png" id="119" name="Picture"/>
                          <pic:cNvPicPr>
                            <a:picLocks noChangeArrowheads="1" noChangeAspect="1"/>
                          </pic:cNvPicPr>
                        </pic:nvPicPr>
                        <pic:blipFill>
                          <a:blip r:embed="rId11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20"/>
        </w:tc>
      </w:tr>
    </w:tbl>
    <w:tbl>
      <w:tblPr>
        <w:tblStyle w:val="Table"/>
        <w:tblW w:type="pct" w:w="5000"/>
        <w:tblLayout w:type="fixed"/>
        <w:tblLook w:firstRow="0" w:lastRow="0" w:firstColumn="0" w:lastColumn="0" w:noHBand="0" w:noVBand="0" w:val="0000"/>
      </w:tblPr>
      <w:tblGrid>
        <w:gridCol w:w="7920"/>
      </w:tblGrid>
      <w:tr>
        <w:tc>
          <w:tcPr/>
          <w:bookmarkStart w:id="124" w:name="fig-flux-diel-monthly"/>
          <w:p>
            <w:pPr>
              <w:pStyle w:val="Compact"/>
              <w:jc w:val="center"/>
            </w:pPr>
            <w:r>
              <w:drawing>
                <wp:inline>
                  <wp:extent cx="5943600" cy="5943600"/>
                  <wp:effectExtent b="0" l="0" r="0" t="0"/>
                  <wp:docPr descr="" title="" id="122" name="Picture"/>
                  <a:graphic>
                    <a:graphicData uri="http://schemas.openxmlformats.org/drawingml/2006/picture">
                      <pic:pic>
                        <pic:nvPicPr>
                          <pic:cNvPr descr="gems_final_nsf_report_files/figure-docx/fig-flux-diel-monthly-1.png" id="123"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24"/>
        </w:tc>
      </w:tr>
    </w:tbl>
    <w:p>
      <w:r>
        <w:br w:type="page"/>
      </w:r>
    </w:p>
    <w:tbl>
      <w:tblPr>
        <w:tblStyle w:val="Table"/>
        <w:tblW w:type="pct" w:w="5000"/>
        <w:tblLayout w:type="fixed"/>
        <w:tblLook w:firstRow="0" w:lastRow="0" w:firstColumn="0" w:lastColumn="0" w:noHBand="0" w:noVBand="0" w:val="0000"/>
      </w:tblPr>
      <w:tblGrid>
        <w:gridCol w:w="7920"/>
      </w:tblGrid>
      <w:tr>
        <w:tc>
          <w:tcPr/>
          <w:bookmarkStart w:id="128" w:name="fig-nem"/>
          <w:p>
            <w:pPr>
              <w:pStyle w:val="Compact"/>
              <w:jc w:val="center"/>
            </w:pPr>
            <w:r>
              <w:drawing>
                <wp:inline>
                  <wp:extent cx="5943600" cy="6537960"/>
                  <wp:effectExtent b="0" l="0" r="0" t="0"/>
                  <wp:docPr descr="" title="" id="126" name="Picture"/>
                  <a:graphic>
                    <a:graphicData uri="http://schemas.openxmlformats.org/drawingml/2006/picture">
                      <pic:pic>
                        <pic:nvPicPr>
                          <pic:cNvPr descr="gems_final_nsf_report_files/figure-docx/fig-nem-1.png" id="127" name="Picture"/>
                          <pic:cNvPicPr>
                            <a:picLocks noChangeArrowheads="1" noChangeAspect="1"/>
                          </pic:cNvPicPr>
                        </pic:nvPicPr>
                        <pic:blipFill>
                          <a:blip r:embed="rId125"/>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day (A) and by month (B) for the deployment period to provide an estimate of net ecosystem metabolism (NEM). The benthic system at Naushon Island shows variability on daily and monthly scales, but the system is close to net neutral over time.</w:t>
            </w:r>
          </w:p>
          <w:bookmarkEnd w:id="128"/>
        </w:tc>
      </w:tr>
    </w:tbl>
    <w:p>
      <w:r>
        <w:br w:type="page"/>
      </w:r>
    </w:p>
    <w:tbl>
      <w:tblPr>
        <w:tblStyle w:val="Table"/>
        <w:tblW w:type="pct" w:w="5000"/>
        <w:tblLayout w:type="fixed"/>
        <w:tblLook w:firstRow="0" w:lastRow="0" w:firstColumn="0" w:lastColumn="0" w:noHBand="0" w:noVBand="0" w:val="0000"/>
      </w:tblPr>
      <w:tblGrid>
        <w:gridCol w:w="7920"/>
      </w:tblGrid>
      <w:tr>
        <w:tc>
          <w:tcPr/>
          <w:bookmarkStart w:id="132" w:name="fig-eelgrass"/>
          <w:p>
            <w:pPr>
              <w:pStyle w:val="Compact"/>
              <w:jc w:val="center"/>
            </w:pPr>
            <w:r>
              <w:drawing>
                <wp:inline>
                  <wp:extent cx="5943600" cy="7132320"/>
                  <wp:effectExtent b="0" l="0" r="0" t="0"/>
                  <wp:docPr descr="" title="" id="130" name="Picture"/>
                  <a:graphic>
                    <a:graphicData uri="http://schemas.openxmlformats.org/drawingml/2006/picture">
                      <pic:pic>
                        <pic:nvPicPr>
                          <pic:cNvPr descr="gems_final_nsf_report_files/figure-docx/fig-eelgrass-1.png" id="131" name="Picture"/>
                          <pic:cNvPicPr>
                            <a:picLocks noChangeArrowheads="1" noChangeAspect="1"/>
                          </pic:cNvPicPr>
                        </pic:nvPicPr>
                        <pic:blipFill>
                          <a:blip r:embed="rId129"/>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2"/>
        </w:tc>
      </w:tr>
    </w:tbl>
    <w:bookmarkStart w:id="147" w:name="refs"/>
    <w:bookmarkStart w:id="134"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3">
        <w:r>
          <w:rPr>
            <w:rStyle w:val="Hyperlink"/>
          </w:rPr>
          <w:t xml:space="preserve">https://doi.org/10.4319/lo.1969.14.3.0454</w:t>
        </w:r>
      </w:hyperlink>
      <w:r>
        <w:t xml:space="preserve">.</w:t>
      </w:r>
    </w:p>
    <w:bookmarkEnd w:id="134"/>
    <w:bookmarkStart w:id="136"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5">
        <w:r>
          <w:rPr>
            <w:rStyle w:val="Hyperlink"/>
          </w:rPr>
          <w:t xml:space="preserve">https://doi.org/10.1002/lom3.10482</w:t>
        </w:r>
      </w:hyperlink>
      <w:r>
        <w:t xml:space="preserve">.</w:t>
      </w:r>
    </w:p>
    <w:bookmarkEnd w:id="136"/>
    <w:bookmarkStart w:id="138"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7">
        <w:r>
          <w:rPr>
            <w:rStyle w:val="Hyperlink"/>
          </w:rPr>
          <w:t xml:space="preserve">https://doi.org/10.1029/2020JC016637</w:t>
        </w:r>
      </w:hyperlink>
      <w:r>
        <w:t xml:space="preserve">.</w:t>
      </w:r>
    </w:p>
    <w:bookmarkEnd w:id="138"/>
    <w:bookmarkStart w:id="140"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9">
        <w:r>
          <w:rPr>
            <w:rStyle w:val="Hyperlink"/>
          </w:rPr>
          <w:t xml:space="preserve">https://doi.org/10.1029/2010GL046179</w:t>
        </w:r>
      </w:hyperlink>
      <w:r>
        <w:t xml:space="preserve">.</w:t>
      </w:r>
    </w:p>
    <w:bookmarkEnd w:id="140"/>
    <w:bookmarkStart w:id="142"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41">
        <w:r>
          <w:rPr>
            <w:rStyle w:val="Hyperlink"/>
          </w:rPr>
          <w:t xml:space="preserve">https://doi.org/10.1002/2016JC011886</w:t>
        </w:r>
      </w:hyperlink>
      <w:r>
        <w:t xml:space="preserve">.</w:t>
      </w:r>
    </w:p>
    <w:bookmarkEnd w:id="142"/>
    <w:bookmarkStart w:id="144"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3">
        <w:r>
          <w:rPr>
            <w:rStyle w:val="Hyperlink"/>
          </w:rPr>
          <w:t xml:space="preserve">https://doi.org/10.1038/ngeo1183</w:t>
        </w:r>
      </w:hyperlink>
      <w:r>
        <w:t xml:space="preserve">.</w:t>
      </w:r>
    </w:p>
    <w:bookmarkEnd w:id="144"/>
    <w:bookmarkStart w:id="146"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5">
        <w:r>
          <w:rPr>
            <w:rStyle w:val="Hyperlink"/>
          </w:rPr>
          <w:t xml:space="preserve">https://doi.org/10.1016/j.dsr2.2010.05.009</w:t>
        </w:r>
      </w:hyperlink>
      <w:r>
        <w:t xml:space="preserve">.</w:t>
      </w:r>
    </w:p>
    <w:bookmarkEnd w:id="146"/>
    <w:bookmarkEnd w:id="147"/>
    <w:bookmarkEnd w:id="148"/>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935356857"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09" Target="media/rId109.png" /><Relationship Type="http://schemas.openxmlformats.org/officeDocument/2006/relationships/image" Id="rId121" Target="media/rId121.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125" Target="media/rId125.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49" Target="media/rId49.png" /><Relationship Type="http://schemas.openxmlformats.org/officeDocument/2006/relationships/image" Id="rId37" Target="media/rId37.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Gradient Exchange Mass Spectrometry (GEMS) for Quantifying a Suite of Dissolved Gas Fluxes</dc:title>
  <dc:creator>Matthew Long; Adam Subhas; Scott Wankel</dc:creator>
  <cp:keywords>membrane inlet mass spectrometry, seagrass, biogeochemistry, gradient flux, dissolved gases, coastal ecosystems, Zostera marina</cp:keywords>
  <dcterms:created xsi:type="dcterms:W3CDTF">2026-02-13T19:02:36Z</dcterms:created>
  <dcterms:modified xsi:type="dcterms:W3CDTF">2026-02-13T19:02:36Z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 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 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gems.bib</vt:lpwstr>
  </property>
  <property fmtid="{D5CDD505-2E9C-101B-9397-08002B2CF9AE}" pid="6" name="by-author">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